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B62F8C" w:rsidRPr="00B62F8C" w:rsidTr="006137B3">
        <w:trPr>
          <w:trHeight w:val="1333"/>
        </w:trPr>
        <w:tc>
          <w:tcPr>
            <w:tcW w:w="4326" w:type="dxa"/>
          </w:tcPr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B62F8C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62F8C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62F8C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B62F8C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B62F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B62F8C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proofErr w:type="gramEnd"/>
            <w:r w:rsidRPr="00B62F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B62F8C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B62F8C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B62F8C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B62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 Яны Карамалы  </w:t>
            </w:r>
            <w:proofErr w:type="spellStart"/>
            <w:r w:rsidRPr="00B62F8C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B62F8C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B62F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B62F8C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B62F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62F8C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B62F8C" w:rsidRPr="00B62F8C" w:rsidRDefault="00B62F8C" w:rsidP="00B62F8C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B62F8C" w:rsidRPr="00B62F8C" w:rsidRDefault="00B62F8C" w:rsidP="00B6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</w:t>
            </w:r>
          </w:p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62F8C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62F8C" w:rsidRPr="00B62F8C" w:rsidRDefault="00B62F8C" w:rsidP="00B62F8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  <w:tr w:rsidR="00B62F8C" w:rsidRPr="00B62F8C" w:rsidTr="006137B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2F8C" w:rsidRPr="00B62F8C" w:rsidRDefault="00B62F8C" w:rsidP="00B62F8C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2F8C" w:rsidRPr="00B62F8C" w:rsidRDefault="00B62F8C" w:rsidP="00B6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62F8C" w:rsidRPr="00B62F8C" w:rsidRDefault="00B62F8C" w:rsidP="00B62F8C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B62F8C" w:rsidRPr="00B62F8C" w:rsidRDefault="00B62F8C" w:rsidP="00B62F8C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Cs/>
          <w:sz w:val="24"/>
          <w:szCs w:val="24"/>
          <w:lang w:eastAsia="ar-SA"/>
        </w:rPr>
      </w:pPr>
      <w:r w:rsidRPr="00B62F8C">
        <w:rPr>
          <w:rFonts w:ascii="Century Tat" w:eastAsia="Times New Roman" w:hAnsi="Century Tat" w:cs="Times New Roman"/>
          <w:sz w:val="24"/>
          <w:szCs w:val="24"/>
          <w:lang w:val="en-US" w:eastAsia="ar-SA"/>
        </w:rPr>
        <w:t>K</w:t>
      </w:r>
      <w:r w:rsidRPr="00B62F8C">
        <w:rPr>
          <w:rFonts w:ascii="Century Tat" w:eastAsia="Times New Roman" w:hAnsi="Century Tat" w:cs="Times New Roman"/>
          <w:sz w:val="24"/>
          <w:szCs w:val="24"/>
          <w:lang w:eastAsia="ar-SA"/>
        </w:rPr>
        <w:t xml:space="preserve"> А Р А Р                                                                                                            </w:t>
      </w:r>
      <w:proofErr w:type="spellStart"/>
      <w:r w:rsidRPr="00B62F8C">
        <w:rPr>
          <w:rFonts w:ascii="Century Tat" w:eastAsia="Times New Roman" w:hAnsi="Century Tat" w:cs="Times New Roman"/>
          <w:bCs/>
          <w:sz w:val="24"/>
          <w:szCs w:val="24"/>
          <w:lang w:eastAsia="ar-SA"/>
        </w:rPr>
        <w:t>Р</w:t>
      </w:r>
      <w:proofErr w:type="spellEnd"/>
      <w:r w:rsidRPr="00B62F8C">
        <w:rPr>
          <w:rFonts w:ascii="Century Tat" w:eastAsia="Times New Roman" w:hAnsi="Century Tat" w:cs="Times New Roman"/>
          <w:bCs/>
          <w:sz w:val="24"/>
          <w:szCs w:val="24"/>
          <w:lang w:eastAsia="ar-SA"/>
        </w:rPr>
        <w:t xml:space="preserve"> Е Ш Е Н И Е</w:t>
      </w:r>
    </w:p>
    <w:p w:rsidR="00CF4AB8" w:rsidRPr="00CF4AB8" w:rsidRDefault="00CF4AB8" w:rsidP="00B62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Новокарамалинский</w:t>
      </w:r>
      <w:r w:rsidRPr="00CF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CF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.08.2018 года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CF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Новокарамалинский</w:t>
      </w:r>
      <w:r w:rsidRPr="00CF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CF4AB8" w:rsidRPr="00CF4AB8" w:rsidRDefault="00CF4AB8" w:rsidP="00CF4A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AB8" w:rsidRPr="00CF4AB8" w:rsidRDefault="00CF4AB8" w:rsidP="00C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B8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Федерального закона от 03.08.2018 №342-ФЗ «О вне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Градостроительный кодекс Российской Федерации и отдельные законодательные акты Российской Федерации», на основании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Миякинского района от 17.06.2019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Д-12-01-2019/1532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4AB8" w:rsidRPr="00CF4AB8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CF4AB8" w:rsidRPr="00CF4AB8" w:rsidRDefault="00CF4AB8" w:rsidP="00C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B8" w:rsidRPr="00CF4AB8" w:rsidRDefault="00CF4AB8" w:rsidP="00CF4A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Часть 3 статьи 17 Правил землепользования и застройки изложить в следующей редакции:</w:t>
      </w:r>
    </w:p>
    <w:p w:rsidR="00CF4AB8" w:rsidRPr="00CF4AB8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застроенной территории, в отношении которой принимается решение о развитии, могут быть расположены помимо объектов, предусмотренных </w:t>
      </w:r>
      <w:hyperlink r:id="rId7" w:anchor="dst41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объекты инженерной инфраструктуры, обеспечивающие исключительно функционирование многоквартирных домов, предусмотренных </w:t>
      </w:r>
      <w:hyperlink r:id="rId8" w:anchor="dst42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dst43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части 3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</w:t>
      </w:r>
      <w:hyperlink r:id="rId10" w:anchor="dst100008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  <w:proofErr w:type="gramEnd"/>
    </w:p>
    <w:p w:rsidR="00CF4AB8" w:rsidRPr="00CF4AB8" w:rsidRDefault="00CF4AB8" w:rsidP="00CF4A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Часть 13 статьи 45 Правил землепользования и застройки изложить в следующей редакции:</w:t>
      </w:r>
    </w:p>
    <w:p w:rsidR="00CF4AB8" w:rsidRPr="00CF4AB8" w:rsidRDefault="00CF4AB8" w:rsidP="00CF4A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строительство не требуется в случае: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917"/>
      <w:bookmarkEnd w:id="1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1" w:anchor="dst100304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садоводства и огородничества;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558"/>
      <w:bookmarkEnd w:id="2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1.1) строительства, реконструкции объектов индивидуального жилищного строительства;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559"/>
      <w:bookmarkEnd w:id="3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строительства, реконструкции объектов, не являющихся объектами капитального строительства;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839"/>
      <w:bookmarkEnd w:id="4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строительства на земельном участке строений и сооружений вспомогательного использования;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058"/>
      <w:bookmarkEnd w:id="5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26"/>
      <w:bookmarkEnd w:id="6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капитального ремонта объектов капитального строительства;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221"/>
      <w:bookmarkEnd w:id="7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2" w:anchor="dst100712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560"/>
      <w:bookmarkEnd w:id="8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864"/>
      <w:bookmarkEnd w:id="9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881"/>
      <w:bookmarkEnd w:id="10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CF4AB8" w:rsidRPr="00CF4AB8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Часть 16 статьи 45 Правил землепользования и застройки исключить.</w:t>
      </w:r>
    </w:p>
    <w:p w:rsidR="00CF4AB8" w:rsidRPr="00CF4AB8" w:rsidRDefault="00CF4AB8" w:rsidP="00CF4A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CF4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Часть 4.1 статьи 45</w:t>
      </w:r>
      <w:r w:rsidRPr="00CF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изложить в следующей редакции: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</w:t>
      </w:r>
      <w:hyperlink r:id="rId13" w:anchor="dst1107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4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dst1110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 "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выдаче разрешения на строительство может быть подано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 на выдачу разрешений на строительство в соответствии с </w:t>
      </w:r>
      <w:hyperlink r:id="rId15" w:anchor="dst1107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4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anchor="dst1110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2877"/>
      <w:bookmarkEnd w:id="11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240"/>
      <w:bookmarkEnd w:id="12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при наличии соглашения о передаче в случаях, установленных бюджетным </w:t>
      </w:r>
      <w:hyperlink r:id="rId17" w:anchor="dst3928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2878"/>
      <w:bookmarkEnd w:id="13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55"/>
      <w:bookmarkEnd w:id="14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материалы, содержащиеся в проектной документации: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256"/>
      <w:bookmarkEnd w:id="15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2879"/>
      <w:bookmarkEnd w:id="16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258"/>
      <w:bookmarkEnd w:id="17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595"/>
      <w:bookmarkEnd w:id="18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архитектурные решения;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641"/>
      <w:bookmarkEnd w:id="19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261"/>
      <w:bookmarkEnd w:id="20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2534"/>
      <w:bookmarkEnd w:id="21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проект организации работ по сносу объектов капитального строительства, их частей;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294"/>
      <w:bookmarkEnd w:id="22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anchor="dst2418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  <w:proofErr w:type="gramEnd"/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572"/>
      <w:bookmarkEnd w:id="23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anchor="dst448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12.1 статьи 48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если такая проектная документация подлежит экспертизе в соответствии со </w:t>
      </w:r>
      <w:hyperlink r:id="rId20" w:anchor="dst2418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21" w:anchor="dst2507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3.4 статьи 49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dst3001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49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2535"/>
      <w:bookmarkStart w:id="25" w:name="dst264"/>
      <w:bookmarkEnd w:id="24"/>
      <w:bookmarkEnd w:id="25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anchor="dst100628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40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1811"/>
      <w:bookmarkEnd w:id="26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4" w:anchor="dst1596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6.2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случаев реконструкции многоквартирного дома;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241"/>
      <w:bookmarkEnd w:id="27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полномочия учредителя или права собственника имущества, - соглашение о проведении такой реконструкции,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596"/>
      <w:bookmarkEnd w:id="28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</w:t>
      </w:r>
      <w:hyperlink r:id="rId25" w:anchor="dst100325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573"/>
      <w:bookmarkEnd w:id="29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111"/>
      <w:bookmarkEnd w:id="30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2536"/>
      <w:bookmarkEnd w:id="31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копия решения об установлении или изменении </w:t>
      </w:r>
      <w:hyperlink r:id="rId26" w:anchor="dst100023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зоны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7" w:anchor="dst1893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2537"/>
      <w:bookmarkEnd w:id="32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в </w:t>
      </w:r>
      <w:hyperlink r:id="rId28" w:anchor="dst2877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" w:anchor="dst264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dst573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dst2536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части 7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запрашиваются органами, указанными в </w:t>
      </w:r>
      <w:hyperlink r:id="rId32" w:anchor="dst2532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части 7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2538"/>
      <w:bookmarkEnd w:id="33"/>
      <w:proofErr w:type="gramStart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органов, указанных в </w:t>
      </w:r>
      <w:hyperlink r:id="rId33" w:anchor="dst2532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части 7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F4AB8" w:rsidRPr="00CF4AB8" w:rsidRDefault="00CF4AB8" w:rsidP="00CF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2539"/>
      <w:bookmarkEnd w:id="34"/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Документы, указанные в </w:t>
      </w:r>
      <w:hyperlink r:id="rId34" w:anchor="dst2877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anchor="dst255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dst572" w:history="1">
        <w:r w:rsidRPr="00CF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7</w:t>
        </w:r>
      </w:hyperlink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F4AB8" w:rsidRPr="00CF4AB8" w:rsidRDefault="00CF4AB8" w:rsidP="00CF4A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Обнародовать настоящее решение на информационном стенде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CF4AB8" w:rsidRPr="00B62F8C" w:rsidRDefault="00CF4AB8" w:rsidP="00B62F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4AB8" w:rsidRPr="00CF4AB8" w:rsidRDefault="00CF4AB8" w:rsidP="00CF4AB8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CF4AB8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Глава сельского поселения                                                       И.В.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F4AB8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Павлов</w:t>
      </w:r>
    </w:p>
    <w:p w:rsidR="00CF4AB8" w:rsidRPr="00CF4AB8" w:rsidRDefault="00CF4AB8" w:rsidP="00CF4AB8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CF4AB8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с. Новые Карамалы</w:t>
      </w:r>
    </w:p>
    <w:p w:rsidR="00CF4AB8" w:rsidRPr="00CF4AB8" w:rsidRDefault="00B62F8C" w:rsidP="00CF4AB8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17.07.</w:t>
      </w:r>
      <w:r w:rsidR="00CF4AB8" w:rsidRPr="00CF4AB8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2019г.</w:t>
      </w:r>
    </w:p>
    <w:p w:rsidR="00CF4AB8" w:rsidRPr="00CF4AB8" w:rsidRDefault="00CF4AB8" w:rsidP="00C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8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№</w:t>
      </w:r>
      <w:r w:rsidR="00B62F8C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210</w:t>
      </w:r>
    </w:p>
    <w:p w:rsidR="00CC0418" w:rsidRPr="00CF4AB8" w:rsidRDefault="00CC0418">
      <w:pPr>
        <w:rPr>
          <w:sz w:val="24"/>
          <w:szCs w:val="24"/>
        </w:rPr>
      </w:pPr>
    </w:p>
    <w:sectPr w:rsidR="00CC0418" w:rsidRPr="00C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3B"/>
    <w:rsid w:val="00436F3B"/>
    <w:rsid w:val="00B62F8C"/>
    <w:rsid w:val="00CC0418"/>
    <w:rsid w:val="00CF4AB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4306637bbcf331798b46e308dfca0bcc0dadb83c/" TargetMode="External"/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hyperlink" Target="http://www.consultant.ru/document/cons_doc_LAW_301011/a7c2f5bf841aae38a03420067b02834b570686d3/" TargetMode="External"/><Relationship Id="rId26" Type="http://schemas.openxmlformats.org/officeDocument/2006/relationships/hyperlink" Target="http://www.consultant.ru/document/cons_doc_LAW_31453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a7c2f5bf841aae38a03420067b02834b570686d3/" TargetMode="External"/><Relationship Id="rId34" Type="http://schemas.openxmlformats.org/officeDocument/2006/relationships/hyperlink" Target="http://www.consultant.ru/document/cons_doc_LAW_301011/570afc6feff03328459242886307d6aebe1ccb6b/" TargetMode="External"/><Relationship Id="rId7" Type="http://schemas.openxmlformats.org/officeDocument/2006/relationships/hyperlink" Target="http://www.consultant.ru/document/cons_doc_LAW_301011/4306637bbcf331798b46e308dfca0bcc0dadb83c/" TargetMode="External"/><Relationship Id="rId12" Type="http://schemas.openxmlformats.org/officeDocument/2006/relationships/hyperlink" Target="http://www.consultant.ru/document/cons_doc_LAW_300834/2d4b56bd14fd988413e3db5448cb827815309003/" TargetMode="External"/><Relationship Id="rId17" Type="http://schemas.openxmlformats.org/officeDocument/2006/relationships/hyperlink" Target="http://www.consultant.ru/document/cons_doc_LAW_326377/ac6c532ee1f365c6e1ff222f22b3f10587918494/" TargetMode="External"/><Relationship Id="rId25" Type="http://schemas.openxmlformats.org/officeDocument/2006/relationships/hyperlink" Target="http://www.consultant.ru/document/cons_doc_LAW_325683/219c3257c1aa4b0fb9896079a0f295343e523d37/" TargetMode="External"/><Relationship Id="rId33" Type="http://schemas.openxmlformats.org/officeDocument/2006/relationships/hyperlink" Target="http://www.consultant.ru/document/cons_doc_LAW_301011/570afc6feff03328459242886307d6aebe1ccb6b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1011/570afc6feff03328459242886307d6aebe1ccb6b/" TargetMode="External"/><Relationship Id="rId20" Type="http://schemas.openxmlformats.org/officeDocument/2006/relationships/hyperlink" Target="http://www.consultant.ru/document/cons_doc_LAW_301011/a7c2f5bf841aae38a03420067b02834b570686d3/" TargetMode="External"/><Relationship Id="rId29" Type="http://schemas.openxmlformats.org/officeDocument/2006/relationships/hyperlink" Target="http://www.consultant.ru/document/cons_doc_LAW_301011/570afc6feff03328459242886307d6aebe1ccb6b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304241/6093fff7675d6179c3d75ee5f064a9656ed3d72c/" TargetMode="External"/><Relationship Id="rId24" Type="http://schemas.openxmlformats.org/officeDocument/2006/relationships/hyperlink" Target="http://www.consultant.ru/document/cons_doc_LAW_301011/570afc6feff03328459242886307d6aebe1ccb6b/" TargetMode="External"/><Relationship Id="rId32" Type="http://schemas.openxmlformats.org/officeDocument/2006/relationships/hyperlink" Target="http://www.consultant.ru/document/cons_doc_LAW_301011/570afc6feff03328459242886307d6aebe1ccb6b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1011/91122874bbcf628c0e5c6bceb7fe613ee682fc73/" TargetMode="External"/><Relationship Id="rId28" Type="http://schemas.openxmlformats.org/officeDocument/2006/relationships/hyperlink" Target="http://www.consultant.ru/document/cons_doc_LAW_301011/570afc6feff03328459242886307d6aebe1ccb6b/" TargetMode="External"/><Relationship Id="rId36" Type="http://schemas.openxmlformats.org/officeDocument/2006/relationships/hyperlink" Target="http://www.consultant.ru/document/cons_doc_LAW_301011/570afc6feff03328459242886307d6aebe1ccb6b/" TargetMode="External"/><Relationship Id="rId10" Type="http://schemas.openxmlformats.org/officeDocument/2006/relationships/hyperlink" Target="http://www.consultant.ru/document/cons_doc_LAW_217015/" TargetMode="External"/><Relationship Id="rId19" Type="http://schemas.openxmlformats.org/officeDocument/2006/relationships/hyperlink" Target="http://www.consultant.ru/document/cons_doc_LAW_301011/b884020ea7453099ba8bc9ca021b84982cadea7d/" TargetMode="External"/><Relationship Id="rId31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4306637bbcf331798b46e308dfca0bcc0dadb83c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1011/a7c2f5bf841aae38a03420067b02834b570686d3/" TargetMode="External"/><Relationship Id="rId27" Type="http://schemas.openxmlformats.org/officeDocument/2006/relationships/hyperlink" Target="http://www.consultant.ru/document/cons_doc_LAW_313798/8f7c0ce0195a7f4f0985d1ca3612eee1bc811452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hyperlink" Target="http://www.consultant.ru/document/cons_doc_LAW_301011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2709</Words>
  <Characters>15444</Characters>
  <Application>Microsoft Office Word</Application>
  <DocSecurity>0</DocSecurity>
  <Lines>128</Lines>
  <Paragraphs>36</Paragraphs>
  <ScaleCrop>false</ScaleCrop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2019-07-17T04:36:00Z</cp:lastPrinted>
  <dcterms:created xsi:type="dcterms:W3CDTF">2019-07-16T05:26:00Z</dcterms:created>
  <dcterms:modified xsi:type="dcterms:W3CDTF">2019-07-17T04:38:00Z</dcterms:modified>
</cp:coreProperties>
</file>